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佛说大乘无量寿庄严清净平等觉经科注  下</w:t>
      </w:r>
    </w:p>
    <w:p>
      <w:r>
        <w:rPr>
          <w:rFonts w:ascii="宋体" w:hAnsi="宋体" w:eastAsia="宋体"/>
          <w:sz w:val="24"/>
        </w:rPr>
        <w:t>夏莲居会经；释净空科判；黄念祖注解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佛说大乘无量寿庄严清净平等觉经科注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夏莲居会经；释净空科判；黄念祖注解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本书出售、求购地址：https://www.jiaokey.com/book/detail/13122873.html</w:t>
      </w:r>
    </w:p>
    <w:p>
      <w:r>
        <w:t>更多相关图书推荐：https://www.jiaokey.com</w:t>
      </w:r>
    </w:p>
    <w:p>
      <w:r>
        <w:t>夏莲居会经；释净空科判；黄念祖注解 其他作品：https://www.jiaokey.com/tag/夏莲居会经；释净空科判；黄念祖注解.html</w:t>
      </w:r>
    </w:p>
    <w:p>
      <w:r>
        <w:t>北京：线装书局 出版图书：https://www.jiaokey.com/tag/北京：线装书局.html</w:t>
      </w:r>
    </w:p>
    <w:p>
      <w:r>
        <w:t>关键词搜索：https://www.jiaokey.com/tag/佛说大乘无量寿庄严清净平等觉经科注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