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水墨变相  现代水墨在台湾</w:t>
      </w:r>
    </w:p>
    <w:p>
      <w:r>
        <w:rPr>
          <w:rFonts w:ascii="宋体" w:hAnsi="宋体" w:eastAsia="宋体"/>
          <w:sz w:val="24"/>
        </w:rPr>
        <w:t>刘永仁执行编辑；张至维翻译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水墨变相  现代水墨在台湾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刘永仁执行编辑；张至维翻译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本书出售、求购地址：https://www.jiaokey.com/book/detail/13122525.html</w:t>
      </w:r>
    </w:p>
    <w:p>
      <w:r>
        <w:t>更多相关图书推荐：https://www.jiaokey.com</w:t>
      </w:r>
    </w:p>
    <w:p>
      <w:r>
        <w:t>刘永仁执行编辑；张至维翻译 其他作品：https://www.jiaokey.com/tag/刘永仁执行编辑；张至维翻译.html</w:t>
      </w:r>
    </w:p>
    <w:p>
      <w:r>
        <w:t>台北市立美术馆 出版图书：https://www.jiaokey.com/tag/台北市立美术馆.html</w:t>
      </w:r>
    </w:p>
    <w:p>
      <w:r>
        <w:t>关键词搜索：https://www.jiaokey.com/tag/水墨变相  现代水墨在台湾.html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