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大人为什么要开会  运用规则获得自由</w:t>
      </w:r>
    </w:p>
    <w:p>
      <w:r>
        <w:rPr>
          <w:rFonts w:ascii="宋体" w:hAnsi="宋体" w:eastAsia="宋体"/>
          <w:sz w:val="24"/>
        </w:rPr>
        <w:t>郭初阳著；乌小鱼插画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大人为什么要开会  运用规则获得自由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郭初阳著；乌小鱼插画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桂林：广西师范大学出版社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本书出售、求购地址：https://www.jiaokey.com/book/detail/13121988.html</w:t>
      </w:r>
    </w:p>
    <w:p>
      <w:r>
        <w:t>更多相关图书推荐：https://www.jiaokey.com</w:t>
      </w:r>
    </w:p>
    <w:p>
      <w:r>
        <w:t>郭初阳著；乌小鱼插画 其他作品：https://www.jiaokey.com/tag/郭初阳著；乌小鱼插画.html</w:t>
      </w:r>
    </w:p>
    <w:p>
      <w:r>
        <w:t>桂林：广西师范大学出版社 出版图书：https://www.jiaokey.com/tag/桂林：广西师范大学出版社.html</w:t>
      </w:r>
    </w:p>
    <w:p>
      <w:r>
        <w:t>关键词搜索：https://www.jiaokey.com/tag/大人为什么要开会  运用规则获得自由.html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