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当代艺术危机与具象表现绘画</w:t>
      </w:r>
    </w:p>
    <w:p>
      <w:r>
        <w:rPr>
          <w:rFonts w:ascii="宋体" w:hAnsi="宋体" w:eastAsia="宋体"/>
          <w:sz w:val="24"/>
        </w:rPr>
        <w:t>司徒立，金观涛著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当代艺术危机与具象表现绘画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司徒立，金观涛著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本书出售、求购地址：https://www.jiaokey.com/book/detail/13120747.html</w:t>
      </w:r>
    </w:p>
    <w:p>
      <w:r>
        <w:t>更多相关图书推荐：https://www.jiaokey.com</w:t>
      </w:r>
    </w:p>
    <w:p>
      <w:r>
        <w:t>司徒立，金观涛著 其他作品：https://www.jiaokey.com/tag/司徒立，金观涛著.html</w:t>
      </w:r>
    </w:p>
    <w:p>
      <w:r>
        <w:t>中文大学出版社 出版图书：https://www.jiaokey.com/tag/中文大学出版社.html</w:t>
      </w:r>
    </w:p>
    <w:p>
      <w:r>
        <w:t>关键词搜索：https://www.jiaokey.com/tag/当代艺术危机与具象表现绘画.html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