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使商店生意兴隆·简单易画之  POP广告的画法  应用篇</w:t>
      </w:r>
    </w:p>
    <w:p>
      <w:r>
        <w:rPr>
          <w:rFonts w:ascii="宋体" w:hAnsi="宋体" w:eastAsia="宋体"/>
          <w:sz w:val="24"/>
        </w:rPr>
        <w:t>郑瑞全译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使商店生意兴隆·简单易画之  POP广告的画法  应用篇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郑瑞全译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总源书局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本书出售、求购地址：https://www.jiaokey.com/book/detail/13120671.html</w:t>
      </w:r>
    </w:p>
    <w:p>
      <w:r>
        <w:t>更多相关图书推荐：https://www.jiaokey.com</w:t>
      </w:r>
    </w:p>
    <w:p>
      <w:r>
        <w:t>郑瑞全译 其他作品：https://www.jiaokey.com/tag/郑瑞全译.html</w:t>
      </w:r>
    </w:p>
    <w:p>
      <w:r>
        <w:t>总源书局 出版图书：https://www.jiaokey.com/tag/总源书局.html</w:t>
      </w:r>
    </w:p>
    <w:p>
      <w:r>
        <w:t>关键词搜索：https://www.jiaokey.com/tag/使商店生意兴隆·简单易画之  POP广告的画法  应用篇.html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