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晚清之部  1840-1911</w:t>
      </w:r>
    </w:p>
    <w:p>
      <w:r>
        <w:rPr>
          <w:rFonts w:ascii="宋体" w:hAnsi="宋体" w:eastAsia="宋体"/>
          <w:sz w:val="24"/>
        </w:rPr>
        <w:t>李铸晋，万青力编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晚清之部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本书出售、求购地址：https://www.jiaokey.com/book/detail/13120503.html</w:t>
      </w:r>
    </w:p>
    <w:p>
      <w:r>
        <w:t>更多相关图书推荐：https://www.jiaokey.com</w:t>
      </w:r>
    </w:p>
    <w:p>
      <w:r>
        <w:t>李铸晋，万青力编 其他作品：https://www.jiaokey.com/tag/李铸晋，万青力编.html</w:t>
      </w:r>
    </w:p>
    <w:p>
      <w:r>
        <w:t>石头出版有限公司 出版图书：https://www.jiaokey.com/tag/石头出版有限公司.html</w:t>
      </w:r>
    </w:p>
    <w:p>
      <w:r>
        <w:t>关键词搜索：https://www.jiaokey.com/tag/中国现代绘画史  晚清之部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