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清代诗论与杜诗批评  以神韵、格调、肌理、性灵为论述中心</w:t>
      </w:r>
    </w:p>
    <w:p>
      <w:r>
        <w:rPr>
          <w:rFonts w:ascii="宋体" w:hAnsi="宋体" w:eastAsia="宋体"/>
          <w:sz w:val="24"/>
        </w:rPr>
        <w:t>徐国能著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清代诗论与杜诗批评  以神韵、格调、肌理、性灵为论述中心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本书出售、求购地址：https://www.jiaokey.com/book/detail/13119727.html</w:t>
      </w:r>
    </w:p>
    <w:p>
      <w:r>
        <w:t>更多相关图书推荐：https://www.jiaokey.com</w:t>
      </w:r>
    </w:p>
    <w:p>
      <w:r>
        <w:t>徐国能著 其他作品：https://www.jiaokey.com/tag/徐国能著.html</w:t>
      </w:r>
    </w:p>
    <w:p>
      <w:r>
        <w:t>里仁书局 出版图书：https://www.jiaokey.com/tag/里仁书局.html</w:t>
      </w:r>
    </w:p>
    <w:p>
      <w:r>
        <w:t>关键词搜索：https://www.jiaokey.com/tag/清代诗论与杜诗批评  以神韵、格调、肌理、性灵为论述中心.html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