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走向知识经济时代的创新  实践卷</w:t>
      </w:r>
    </w:p>
    <w:p>
      <w:r>
        <w:rPr>
          <w:rFonts w:ascii="宋体" w:hAnsi="宋体" w:eastAsia="宋体"/>
          <w:sz w:val="24"/>
        </w:rPr>
        <w:t>吴兴鹏，董剑南，谢玉平主编；冷祥初，郑克明丛书主编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走向知识经济时代的创新  实践卷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吴兴鹏，董剑南，谢玉平主编；冷祥初，郑克明丛书主编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本书出售、求购地址：https://www.jiaokey.com/book/detail/13117006.html</w:t>
      </w:r>
    </w:p>
    <w:p>
      <w:r>
        <w:t>更多相关图书推荐：https://www.jiaokey.com</w:t>
      </w:r>
    </w:p>
    <w:p>
      <w:r>
        <w:t>吴兴鹏，董剑南，谢玉平主编；冷祥初，郑克明丛书主编 其他作品：https://www.jiaokey.com/tag/吴兴鹏，董剑南，谢玉平主编；冷祥初，郑克明丛书主编.html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关键词搜索：https://www.jiaokey.com/tag/走向知识经济时代的创新  实践卷.html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