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视觉艺术领域教材教法</w:t>
      </w:r>
    </w:p>
    <w:p>
      <w:r>
        <w:rPr>
          <w:rFonts w:ascii="宋体" w:hAnsi="宋体" w:eastAsia="宋体"/>
          <w:sz w:val="24"/>
        </w:rPr>
        <w:t>杨思伟总策划；黄嘉胜主编；温惠珍，王丽惠，曾仰贤等著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视觉艺术领域教材教法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杨思伟总策划；黄嘉胜主编；温惠珍，王丽惠，曾仰贤等著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本书出售、求购地址：https://www.jiaokey.com/book/detail/13116392.html</w:t>
      </w:r>
    </w:p>
    <w:p>
      <w:r>
        <w:t>更多相关图书推荐：https://www.jiaokey.com</w:t>
      </w:r>
    </w:p>
    <w:p>
      <w:r>
        <w:t>杨思伟总策划；黄嘉胜主编；温惠珍，王丽惠，曾仰贤等著 其他作品：https://www.jiaokey.com/tag/杨思伟总策划；黄嘉胜主编；温惠珍，王丽惠，曾仰贤等著.html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关键词搜索：https://www.jiaokey.com/tag/视觉艺术领域教材教法.html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