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中西格律诗与自由诗的审美文化因缘比较</w:t>
      </w:r>
    </w:p>
    <w:p>
      <w:r>
        <w:rPr>
          <w:rFonts w:ascii="宋体" w:hAnsi="宋体" w:eastAsia="宋体"/>
          <w:sz w:val="24"/>
        </w:rPr>
        <w:t>林静怡著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中西格律诗与自由诗的审美文化因缘比较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本书出售、求购地址：https://www.jiaokey.com/book/detail/13113923.html</w:t>
      </w:r>
    </w:p>
    <w:p>
      <w:r>
        <w:t>更多相关图书推荐：https://www.jiaokey.com</w:t>
      </w:r>
    </w:p>
    <w:p>
      <w:r>
        <w:t>林静怡著 其他作品：https://www.jiaokey.com/tag/林静怡著.html</w:t>
      </w:r>
    </w:p>
    <w:p>
      <w:r>
        <w:t>秀威资讯 出版图书：https://www.jiaokey.com/tag/秀威资讯.html</w:t>
      </w:r>
    </w:p>
    <w:p>
      <w:r>
        <w:t>关键词搜索：https://www.jiaokey.com/tag/中西格律诗与自由诗的审美文化因缘比较.html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