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 5.5经典动画制作教程</w:t>
      </w:r>
    </w:p>
    <w:p>
      <w:r>
        <w:rPr>
          <w:rFonts w:ascii="宋体" w:hAnsi="宋体" w:eastAsia="宋体"/>
          <w:sz w:val="24"/>
        </w:rPr>
        <w:t>梁莉菁，廖德伟，付达杰主编；朱接文，龚跃连，胡细玲等副主编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 5.5经典动画制作教程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梁莉菁，廖德伟，付达杰主编；朱接文，龚跃连，胡细玲等副主编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本书出售、求购地址：https://www.jiaokey.com/book/detail/13113587.html</w:t>
      </w:r>
    </w:p>
    <w:p>
      <w:r>
        <w:t>更多相关图书推荐：https://www.jiaokey.com</w:t>
      </w:r>
    </w:p>
    <w:p>
      <w:r>
        <w:t>梁莉菁，廖德伟，付达杰主编；朱接文，龚跃连，胡细玲等副主编 其他作品：https://www.jiaokey.com/tag/梁莉菁，廖德伟，付达杰主编；朱接文，龚跃连，胡细玲等副主编.html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 5.5经典动画制作教程.html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