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CCWAPC（TM）应用实例</w:t>
      </w:r>
    </w:p>
    <w:p>
      <w:r>
        <w:rPr>
          <w:rFonts w:ascii="宋体" w:hAnsi="宋体" w:eastAsia="宋体"/>
          <w:sz w:val="24"/>
        </w:rPr>
        <w:t>王雪峰，杨燕军，潘榕明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CCWAPC（TM）应用实例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王雪峰，杨燕军，潘榕明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武汉岩海建工物探有限公司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本书出售、求购地址：https://www.jiaokey.com/book/detail/13113162.html</w:t>
      </w:r>
    </w:p>
    <w:p>
      <w:r>
        <w:t>更多相关图书推荐：https://www.jiaokey.com</w:t>
      </w:r>
    </w:p>
    <w:p>
      <w:r>
        <w:t>王雪峰，杨燕军，潘榕明 其他作品：https://www.jiaokey.com/tag/王雪峰，杨燕军，潘榕明.html</w:t>
      </w:r>
    </w:p>
    <w:p>
      <w:r>
        <w:t>武汉岩海建工物探有限公司 出版图书：https://www.jiaokey.com/tag/武汉岩海建工物探有限公司.html</w:t>
      </w:r>
    </w:p>
    <w:p>
      <w:r>
        <w:t>关键词搜索：https://www.jiaokey.com/tag/CCWAPC（TM）应用实例.html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