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权力情商</w:t>
      </w:r>
    </w:p>
    <w:p>
      <w:r>
        <w:rPr>
          <w:rFonts w:ascii="宋体" w:hAnsi="宋体" w:eastAsia="宋体"/>
          <w:sz w:val="24"/>
        </w:rPr>
        <w:t>布成良，吴天波，韦浩明编著；李阳，于文奎，文唐等副主编；卢纪元，刘长江，布留春等编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布成良，吴天波，韦浩明编著；李阳，于文奎，文唐等副主编；卢纪元，刘长江，布留春等编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本书出售、求购地址：https://www.jiaokey.com/book/detail/13113129.html</w:t>
      </w:r>
    </w:p>
    <w:p>
      <w:r>
        <w:t>更多相关图书推荐：https://www.jiaokey.com</w:t>
      </w:r>
    </w:p>
    <w:p>
      <w:r>
        <w:t>布成良，吴天波，韦浩明编著；李阳，于文奎，文唐等副主编；卢纪元，刘长江，布留春等编 其他作品：https://www.jiaokey.com/tag/布成良，吴天波，韦浩明编著；李阳，于文奎，文唐等副主编；卢纪元，刘长江，布留春等编.html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关键词搜索：https://www.jiaokey.com/tag/权力情商.html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