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</w:t>
      </w:r>
    </w:p>
    <w:p>
      <w:r>
        <w:rPr>
          <w:rFonts w:ascii="宋体" w:hAnsi="宋体" w:eastAsia="宋体"/>
          <w:sz w:val="24"/>
        </w:rPr>
        <w:t>尹纪燕主编；郭灿章，雷汝南，付春生编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尹纪燕主编；郭灿章，雷汝南，付春生编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本书出售、求购地址：https://www.jiaokey.com/book/detail/13112911.html</w:t>
      </w:r>
    </w:p>
    <w:p>
      <w:r>
        <w:t>更多相关图书推荐：https://www.jiaokey.com</w:t>
      </w:r>
    </w:p>
    <w:p>
      <w:r>
        <w:t>尹纪燕主编；郭灿章，雷汝南，付春生编 其他作品：https://www.jiaokey.com/tag/尹纪燕主编；郭灿章，雷汝南，付春生编.html</w:t>
      </w:r>
    </w:p>
    <w:p>
      <w:r>
        <w:t>关键词搜索：https://www.jiaokey.com/tag/乡镇企业经营管理.html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