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我怎样捞起  日本商界鬼才，年仅三十，即拥资千万</w:t>
      </w:r>
    </w:p>
    <w:p>
      <w:r>
        <w:rPr>
          <w:rFonts w:ascii="宋体" w:hAnsi="宋体" w:eastAsia="宋体"/>
          <w:sz w:val="24"/>
        </w:rPr>
        <w:t>系山英太郞原著；周崇发编译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我怎样捞起  日本商界鬼才，年仅三十，即拥资千万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系山英太郞原著；周崇发编译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本书出售、求购地址：https://www.jiaokey.com/book/detail/13111830.html</w:t>
      </w:r>
    </w:p>
    <w:p>
      <w:r>
        <w:t>更多相关图书推荐：https://www.jiaokey.com</w:t>
      </w:r>
    </w:p>
    <w:p>
      <w:r>
        <w:t>系山英太郞原著；周崇发编译 其他作品：https://www.jiaokey.com/tag/系山英太郞原著；周崇发编译.html</w:t>
      </w:r>
    </w:p>
    <w:p>
      <w:r>
        <w:t>新力书局 出版图书：https://www.jiaokey.com/tag/新力书局.html</w:t>
      </w:r>
    </w:p>
    <w:p>
      <w:r>
        <w:t>关键词搜索：https://www.jiaokey.com/tag/我怎样捞起  日本商界鬼才，年仅三十，即拥资千万.html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