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黄金企业可行性研究内容和深度的原则规定  试行</w:t>
      </w:r>
    </w:p>
    <w:p>
      <w:r>
        <w:rPr>
          <w:rFonts w:ascii="宋体" w:hAnsi="宋体" w:eastAsia="宋体"/>
          <w:sz w:val="24"/>
        </w:rPr>
        <w:t>国家黄金管理局编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黄金企业可行性研究内容和深度的原则规定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国家黄金管理局编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国家黄金管理局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本书出售、求购地址：https://www.jiaokey.com/book/detail/13109746.html</w:t>
      </w:r>
    </w:p>
    <w:p>
      <w:r>
        <w:t>更多相关图书推荐：https://www.jiaokey.com</w:t>
      </w:r>
    </w:p>
    <w:p>
      <w:r>
        <w:t>国家黄金管理局编 其他作品：https://www.jiaokey.com/tag/国家黄金管理局编.html</w:t>
      </w:r>
    </w:p>
    <w:p>
      <w:r>
        <w:t>国家黄金管理局 出版图书：https://www.jiaokey.com/tag/国家黄金管理局.html</w:t>
      </w:r>
    </w:p>
    <w:p>
      <w:r>
        <w:t>关键词搜索：https://www.jiaokey.com/tag/黄金企业可行性研究内容和深度的原则规定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