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现代律师的生成与境遇——以民国时期北京律师群体为中心的研究</w:t>
      </w:r>
    </w:p>
    <w:p>
      <w:r>
        <w:rPr>
          <w:rFonts w:ascii="宋体" w:hAnsi="宋体" w:eastAsia="宋体"/>
          <w:sz w:val="24"/>
        </w:rPr>
        <w:t>邱志红著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现代律师的生成与境遇——以民国时期北京律师群体为中心的研究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本书出售、求购地址：https://www.jiaokey.com/book/detail/13098675.html</w:t>
      </w:r>
    </w:p>
    <w:p>
      <w:r>
        <w:t>更多相关图书推荐：https://www.jiaokey.com</w:t>
      </w:r>
    </w:p>
    <w:p>
      <w:r>
        <w:t>邱志红著 其他作品：https://www.jiaokey.com/tag/邱志红著.html</w:t>
      </w:r>
    </w:p>
    <w:p>
      <w:r>
        <w:t>关键词搜索：https://www.jiaokey.com/tag/现代律师的生成与境遇——以民国时期北京律师群体为中心的研究.html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