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台湾社会现象的分析  家庭、人口、政策与阶层</w:t>
      </w:r>
    </w:p>
    <w:p>
      <w:r>
        <w:rPr>
          <w:rFonts w:ascii="宋体" w:hAnsi="宋体" w:eastAsia="宋体"/>
          <w:sz w:val="24"/>
        </w:rPr>
        <w:t>伊庆春，朱瑞玲主编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台湾社会现象的分析  家庭、人口、政策与阶层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伊庆春，朱瑞玲主编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中央研究院三民主义研究所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本书出售、求购地址：https://www.jiaokey.com/book/detail/13093027.html</w:t>
      </w:r>
    </w:p>
    <w:p>
      <w:r>
        <w:t>更多相关图书推荐：https://www.jiaokey.com</w:t>
      </w:r>
    </w:p>
    <w:p>
      <w:r>
        <w:t>伊庆春，朱瑞玲主编 其他作品：https://www.jiaokey.com/tag/伊庆春，朱瑞玲主编.html</w:t>
      </w:r>
    </w:p>
    <w:p>
      <w:r>
        <w:t>中央研究院三民主义研究所 出版图书：https://www.jiaokey.com/tag/中央研究院三民主义研究所.html</w:t>
      </w:r>
    </w:p>
    <w:p>
      <w:r>
        <w:t>关键词搜索：https://www.jiaokey.com/tag/台湾社会现象的分析  家庭、人口、政策与阶层.html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