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推动经济社会双转型 建设富强和谐新东莞专题资料  饮食药品安全</w:t>
      </w:r>
    </w:p>
    <w:p>
      <w:r>
        <w:rPr>
          <w:rFonts w:ascii="宋体" w:hAnsi="宋体" w:eastAsia="宋体"/>
          <w:sz w:val="24"/>
        </w:rPr>
        <w:t>东莞图书馆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推动经济社会双转型 建设富强和谐新东莞专题资料  饮食药品安全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本书出售、求购地址：https://www.jiaokey.com/book/detail/13092856.html</w:t>
      </w:r>
    </w:p>
    <w:p>
      <w:r>
        <w:t>更多相关图书推荐：https://www.jiaokey.com</w:t>
      </w:r>
    </w:p>
    <w:p>
      <w:r>
        <w:t>东莞图书馆 其他作品：https://www.jiaokey.com/tag/东莞图书馆.html</w:t>
      </w:r>
    </w:p>
    <w:p>
      <w:r>
        <w:t>关键词搜索：https://www.jiaokey.com/tag/推动经济社会双转型 建设富强和谐新东莞专题资料  饮食药品安全.html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