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江苏科教兴省战略实施研究</w:t>
      </w:r>
    </w:p>
    <w:p>
      <w:r>
        <w:rPr>
          <w:rFonts w:ascii="宋体" w:hAnsi="宋体" w:eastAsia="宋体"/>
          <w:sz w:val="24"/>
        </w:rPr>
        <w:t>李廉水等著；陈万年，王永顺，顾冠群首席专家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江苏科教兴省战略实施研究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李廉水等著；陈万年，王永顺，顾冠群首席专家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本书出售、求购地址：https://www.jiaokey.com/book/detail/13092304.html</w:t>
      </w:r>
    </w:p>
    <w:p>
      <w:r>
        <w:t>更多相关图书推荐：https://www.jiaokey.com</w:t>
      </w:r>
    </w:p>
    <w:p>
      <w:r>
        <w:t>李廉水等著；陈万年，王永顺，顾冠群首席专家 其他作品：https://www.jiaokey.com/tag/李廉水等著；陈万年，王永顺，顾冠群首席专家.html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关键词搜索：https://www.jiaokey.com/tag/江苏科教兴省战略实施研究.html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