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美国经济适用房与公私合营关系</w:t>
      </w:r>
    </w:p>
    <w:p>
      <w:r>
        <w:rPr>
          <w:rFonts w:ascii="宋体" w:hAnsi="宋体" w:eastAsia="宋体"/>
          <w:sz w:val="24"/>
        </w:rPr>
        <w:t>（美）内斯特·M·戴维森，罗宾·保罗·马洛伊著；吴春岐，蒋昀真，黄卓译；叶剑平审校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美国经济适用房与公私合营关系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（美）内斯特·M·戴维森，罗宾·保罗·马洛伊著；吴春岐，蒋昀真，黄卓译；叶剑平审校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本书出售、求购地址：https://www.jiaokey.com/book/detail/13089332.html</w:t>
      </w:r>
    </w:p>
    <w:p>
      <w:r>
        <w:t>更多相关图书推荐：https://www.jiaokey.com</w:t>
      </w:r>
    </w:p>
    <w:p>
      <w:r>
        <w:t>（美）内斯特·M·戴维森，罗宾·保罗·马洛伊著；吴春岐，蒋昀真，黄卓译；叶剑平审校 其他作品：https://www.jiaokey.com/tag/（美）内斯特·M·戴维森，罗宾·保罗·马洛伊著；吴春岐，蒋昀真，黄卓译；叶剑平审校.html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关键词搜索：https://www.jiaokey.com/tag/美国经济适用房与公私合营关系.html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