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基于Rabin动机公平的激励契约研究</w:t>
      </w:r>
    </w:p>
    <w:p>
      <w:r>
        <w:rPr>
          <w:rFonts w:ascii="宋体" w:hAnsi="宋体" w:eastAsia="宋体"/>
          <w:sz w:val="24"/>
        </w:rPr>
        <w:t>吴国东,汪翔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8924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基于Rabin动机公平的激励契约研究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吴国东,汪翔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9787564703080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企业管理-人事管理-激励-研究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企业计划与经营决策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本书在经典激励契约理论的基础上，考虑人们的动机公平偏好，植入Rabin动机公平博弈模型，实现对经典激励契约理论的修正和拓展。</w:t>
      </w:r>
    </w:p>
    <w:p/>
    <w:p>
      <w:r>
        <w:t>本书出售、求购地址：https://www.jiaokey.com/book/detail/13089243.html</w:t>
      </w:r>
    </w:p>
    <w:p>
      <w:r>
        <w:t>更多企业计划与经营决策图书推荐：https://www.jiaokey.com</w:t>
      </w:r>
    </w:p>
    <w:p>
      <w:r>
        <w:t>吴国东,汪翔 其他作品：https://www.jiaokey.com/tag/吴国东,汪翔.html</w:t>
      </w:r>
    </w:p>
    <w:p>
      <w:r>
        <w:t>成都：电子科技大学出版社 出版图书：https://www.jiaokey.com/tag/成都：电子科技大学出版社.html</w:t>
      </w:r>
    </w:p>
    <w:p>
      <w:r>
        <w:t>关键词搜索：https://www.jiaokey.com/tag/企业管理-人事管理-激励-研究.html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