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澳大利亚法律的传统与发展  第3版</w:t>
      </w:r>
    </w:p>
    <w:p>
      <w:r>
        <w:rPr>
          <w:rFonts w:ascii="宋体" w:hAnsi="宋体" w:eastAsia="宋体"/>
          <w:sz w:val="24"/>
        </w:rPr>
        <w:t>（澳）帕瑞克·帕金森著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澳大利亚法律的传统与发展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（澳）帕瑞克·帕金森著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外国家庭法及妇女理论研究中心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本书出售、求购地址：https://www.jiaokey.com/book/detail/13088905.html</w:t>
      </w:r>
    </w:p>
    <w:p>
      <w:r>
        <w:t>更多相关图书推荐：https://www.jiaokey.com</w:t>
      </w:r>
    </w:p>
    <w:p>
      <w:r>
        <w:t>（澳）帕瑞克·帕金森著 其他作品：https://www.jiaokey.com/tag/（澳）帕瑞克·帕金森著.html</w:t>
      </w:r>
    </w:p>
    <w:p>
      <w:r>
        <w:t>外国家庭法及妇女理论研究中心 出版图书：https://www.jiaokey.com/tag/外国家庭法及妇女理论研究中心.html</w:t>
      </w:r>
    </w:p>
    <w:p>
      <w:r>
        <w:t>关键词搜索：https://www.jiaokey.com/tag/澳大利亚法律的传统与发展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