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  2011年  第2期</w:t>
      </w:r>
    </w:p>
    <w:p>
      <w:r>
        <w:rPr>
          <w:rFonts w:ascii="宋体" w:hAnsi="宋体" w:eastAsia="宋体"/>
          <w:sz w:val="24"/>
        </w:rPr>
        <w:t>李东来主编；冯玲副主编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  2011年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李东来主编；冯玲副主编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本书出售、求购地址：https://www.jiaokey.com/book/detail/13087983.html</w:t>
      </w:r>
    </w:p>
    <w:p>
      <w:r>
        <w:t>更多相关图书推荐：https://www.jiaokey.com</w:t>
      </w:r>
    </w:p>
    <w:p>
      <w:r>
        <w:t>李东来主编；冯玲副主编 其他作品：https://www.jiaokey.com/tag/李东来主编；冯玲副主编.html</w:t>
      </w:r>
    </w:p>
    <w:p>
      <w:r>
        <w:t>东莞图书馆 出版图书：https://www.jiaokey.com/tag/东莞图书馆.html</w:t>
      </w:r>
    </w:p>
    <w:p>
      <w:r>
        <w:t>关键词搜索：https://www.jiaokey.com/tag/易读  2011年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