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新时期物业服务成本定价与收费标准依据及服务规范纠纷处理安全指导全书  第4卷</w:t>
      </w:r>
    </w:p>
    <w:p>
      <w:r>
        <w:rPr>
          <w:rFonts w:ascii="宋体" w:hAnsi="宋体" w:eastAsia="宋体"/>
          <w:sz w:val="24"/>
        </w:rPr>
        <w:t>杨广主编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新时期物业服务成本定价与收费标准依据及服务规范纠纷处理安全指导全书  第4卷</w:t>
            </w:r>
          </w:p>
        </w:tc>
      </w:tr>
      <w:tr>
        <w:tc>
          <w:tcPr>
            <w:tcW w:type="dxa" w:w="4320"/>
          </w:tcPr>
          <w:p>
            <w:r>
              <w:t>作者</w:t>
            </w:r>
          </w:p>
        </w:tc>
        <w:tc>
          <w:tcPr>
            <w:tcW w:type="dxa" w:w="4320"/>
          </w:tcPr>
          <w:p>
            <w:r>
              <w:t>杨广主编</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1610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本书出售、求购地址：https://www.jiaokey.com/book/detail/13087193.html</w:t>
      </w:r>
    </w:p>
    <w:p>
      <w:r>
        <w:t>更多相关图书推荐：https://www.jiaokey.com</w:t>
      </w:r>
    </w:p>
    <w:p>
      <w:r>
        <w:t>杨广主编 其他作品：https://www.jiaokey.com/tag/杨广主编.html</w:t>
      </w:r>
    </w:p>
    <w:p>
      <w:r>
        <w:t>长春：吉林人民出版社 出版图书：https://www.jiaokey.com/tag/长春：吉林人民出版社.html</w:t>
      </w:r>
    </w:p>
    <w:p>
      <w:r>
        <w:t>关键词搜索：https://www.jiaokey.com/tag/新时期物业服务成本定价与收费标准依据及服务规范纠纷处理安全指导全书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