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中国上市公司重整的内在逻辑与制度选择</w:t>
      </w:r>
    </w:p>
    <w:p>
      <w:r>
        <w:rPr>
          <w:rFonts w:ascii="宋体" w:hAnsi="宋体" w:eastAsia="宋体"/>
          <w:sz w:val="24"/>
        </w:rPr>
        <w:t>李成文著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中国上市公司重整的内在逻辑与制度选择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本书出售、求购地址：https://www.jiaokey.com/book/detail/13086995.html</w:t>
      </w:r>
    </w:p>
    <w:p>
      <w:r>
        <w:t>更多相关图书推荐：https://www.jiaokey.com</w:t>
      </w:r>
    </w:p>
    <w:p>
      <w:r>
        <w:t>李成文著 其他作品：https://www.jiaokey.com/tag/李成文著.html</w:t>
      </w:r>
    </w:p>
    <w:p>
      <w:r>
        <w:t>关键词搜索：https://www.jiaokey.com/tag/中国上市公司重整的内在逻辑与制度选择.html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