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热点投资：100个新兴的获利机会</w:t>
      </w:r>
    </w:p>
    <w:p>
      <w:r>
        <w:rPr>
          <w:rFonts w:ascii="宋体" w:hAnsi="宋体" w:eastAsia="宋体"/>
          <w:sz w:val="24"/>
        </w:rPr>
        <w:t>（美）沃奈提克著；唐要家译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热点投资：100个新兴的获利机会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（美）沃奈提克著；唐要家译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中华工商联会合出版社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本书出售、求购地址：https://www.jiaokey.com/book/detail/13086623.html</w:t>
      </w:r>
    </w:p>
    <w:p>
      <w:r>
        <w:t>更多相关图书推荐：https://www.jiaokey.com</w:t>
      </w:r>
    </w:p>
    <w:p>
      <w:r>
        <w:t>（美）沃奈提克著；唐要家译 其他作品：https://www.jiaokey.com/tag/（美）沃奈提克著；唐要家译.html</w:t>
      </w:r>
    </w:p>
    <w:p>
      <w:r>
        <w:t>中华工商联会合出版社 出版图书：https://www.jiaokey.com/tag/中华工商联会合出版社.html</w:t>
      </w:r>
    </w:p>
    <w:p>
      <w:r>
        <w:t>关键词搜索：https://www.jiaokey.com/tag/热点投资：100个新兴的获利机会.html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