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乡镇人大主席团工作讲话</w:t>
      </w:r>
    </w:p>
    <w:p>
      <w:r>
        <w:rPr>
          <w:rFonts w:ascii="宋体" w:hAnsi="宋体" w:eastAsia="宋体"/>
          <w:sz w:val="24"/>
        </w:rPr>
        <w:t>张国华主编；李智民，孟宪飞，臧安民副主编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乡镇人大主席团工作讲话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张国华主编；李智民，孟宪飞，臧安民副主编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本书出售、求购地址：https://www.jiaokey.com/book/detail/13082964.html</w:t>
      </w:r>
    </w:p>
    <w:p>
      <w:r>
        <w:t>更多相关图书推荐：https://www.jiaokey.com</w:t>
      </w:r>
    </w:p>
    <w:p>
      <w:r>
        <w:t>张国华主编；李智民，孟宪飞，臧安民副主编 其他作品：https://www.jiaokey.com/tag/张国华主编；李智民，孟宪飞，臧安民副主编.html</w:t>
      </w:r>
    </w:p>
    <w:p>
      <w:r>
        <w:t>河南省农政厅 出版图书：https://www.jiaokey.com/tag/河南省农政厅.html</w:t>
      </w:r>
    </w:p>
    <w:p>
      <w:r>
        <w:t>关键词搜索：https://www.jiaokey.com/tag/乡镇人大主席团工作讲话.html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