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主体功能区划与生态补偿问题研究</w:t>
      </w:r>
    </w:p>
    <w:p>
      <w:r>
        <w:rPr>
          <w:rFonts w:ascii="宋体" w:hAnsi="宋体" w:eastAsia="宋体"/>
          <w:sz w:val="24"/>
        </w:rPr>
        <w:t>丁四保，王昱，卢艳丽，尹国庆著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主体功能区划与生态补偿问题研究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丁四保，王昱，卢艳丽，尹国庆著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本书出售、求购地址：https://www.jiaokey.com/book/detail/13082708.html</w:t>
      </w:r>
    </w:p>
    <w:p>
      <w:r>
        <w:t>更多相关图书推荐：https://www.jiaokey.com</w:t>
      </w:r>
    </w:p>
    <w:p>
      <w:r>
        <w:t>丁四保，王昱，卢艳丽，尹国庆著 其他作品：https://www.jiaokey.com/tag/丁四保，王昱，卢艳丽，尹国庆著.html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关键词搜索：https://www.jiaokey.com/tag/主体功能区划与生态补偿问题研究.html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