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路政管理规定实施手册  下</w:t>
      </w:r>
    </w:p>
    <w:p>
      <w:r>
        <w:rPr>
          <w:rFonts w:ascii="宋体" w:hAnsi="宋体" w:eastAsia="宋体"/>
          <w:sz w:val="24"/>
        </w:rPr>
        <w:t>刘继东主编；何敬远副主编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路政管理规定实施手册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刘继东主编；何敬远副主编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中科多媒体电子出版社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本书出售、求购地址：https://www.jiaokey.com/book/detail/13082457.html</w:t>
      </w:r>
    </w:p>
    <w:p>
      <w:r>
        <w:t>更多相关图书推荐：https://www.jiaokey.com</w:t>
      </w:r>
    </w:p>
    <w:p>
      <w:r>
        <w:t>刘继东主编；何敬远副主编 其他作品：https://www.jiaokey.com/tag/刘继东主编；何敬远副主编.html</w:t>
      </w:r>
    </w:p>
    <w:p>
      <w:r>
        <w:t>中科多媒体电子出版社 出版图书：https://www.jiaokey.com/tag/中科多媒体电子出版社.html</w:t>
      </w:r>
    </w:p>
    <w:p>
      <w:r>
        <w:t>关键词搜索：https://www.jiaokey.com/tag/路政管理规定实施手册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