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经济审判实务  程序篇</w:t>
      </w:r>
    </w:p>
    <w:p>
      <w:r>
        <w:rPr>
          <w:rFonts w:ascii="宋体" w:hAnsi="宋体" w:eastAsia="宋体"/>
          <w:sz w:val="24"/>
        </w:rPr>
        <w:t>李道民主编；刘金华副主编；马胜军，王兵，王素丽等撰稿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经济审判实务  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李道民主编；刘金华副主编；马胜军，王兵，王素丽等撰稿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本书出售、求购地址：https://www.jiaokey.com/book/detail/13077624.html</w:t>
      </w:r>
    </w:p>
    <w:p>
      <w:r>
        <w:t>更多相关图书推荐：https://www.jiaokey.com</w:t>
      </w:r>
    </w:p>
    <w:p>
      <w:r>
        <w:t>李道民主编；刘金华副主编；马胜军，王兵，王素丽等撰稿 其他作品：https://www.jiaokey.com/tag/李道民主编；刘金华副主编；马胜军，王兵，王素丽等撰稿.html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关键词搜索：https://www.jiaokey.com/tag/经济审判实务  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