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正确处理领导班子内部关系</w:t>
      </w:r>
    </w:p>
    <w:p>
      <w:r>
        <w:rPr>
          <w:rFonts w:ascii="宋体" w:hAnsi="宋体" w:eastAsia="宋体"/>
          <w:sz w:val="24"/>
        </w:rPr>
        <w:t>白威凉，杜相林，络炳亚等主编；邢文彦，李凤昌，李肇川等副主编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正确处理领导班子内部关系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白威凉，杜相林，络炳亚等主编；邢文彦，李凤昌，李肇川等副主编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本书出售、求购地址：https://www.jiaokey.com/book/detail/13077555.html</w:t>
      </w:r>
    </w:p>
    <w:p>
      <w:r>
        <w:t>更多相关图书推荐：https://www.jiaokey.com</w:t>
      </w:r>
    </w:p>
    <w:p>
      <w:r>
        <w:t>白威凉，杜相林，络炳亚等主编；邢文彦，李凤昌，李肇川等副主编 其他作品：https://www.jiaokey.com/tag/白威凉，杜相林，络炳亚等主编；邢文彦，李凤昌，李肇川等副主编.html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关键词搜索：https://www.jiaokey.com/tag/正确处理领导班子内部关系.html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