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</w:t>
      </w:r>
    </w:p>
    <w:p>
      <w:r>
        <w:rPr>
          <w:rFonts w:ascii="宋体" w:hAnsi="宋体" w:eastAsia="宋体"/>
          <w:sz w:val="24"/>
        </w:rPr>
        <w:t>高春华主编；刘万才，苏金乐，杨卉青副主编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高春华主编；刘万才，苏金乐，杨卉青副主编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本书出售、求购地址：https://www.jiaokey.com/book/detail/13073999.html</w:t>
      </w:r>
    </w:p>
    <w:p>
      <w:r>
        <w:t>更多相关图书推荐：https://www.jiaokey.com</w:t>
      </w:r>
    </w:p>
    <w:p>
      <w:r>
        <w:t>高春华主编；刘万才，苏金乐，杨卉青副主编 其他作品：https://www.jiaokey.com/tag/高春华主编；刘万才，苏金乐，杨卉青副主编.html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