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解构论  柔性策略之妙用</w:t>
      </w:r>
    </w:p>
    <w:p>
      <w:r>
        <w:rPr>
          <w:rFonts w:ascii="宋体" w:hAnsi="宋体" w:eastAsia="宋体"/>
          <w:sz w:val="24"/>
        </w:rPr>
        <w:t>郑允忠著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解构论  柔性策略之妙用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远帆世纪出版社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本书出售、求购地址：https://www.jiaokey.com/book/detail/13073105.html</w:t>
      </w:r>
    </w:p>
    <w:p>
      <w:r>
        <w:t>更多相关图书推荐：https://www.jiaokey.com</w:t>
      </w:r>
    </w:p>
    <w:p>
      <w:r>
        <w:t>郑允忠著 其他作品：https://www.jiaokey.com/tag/郑允忠著.html</w:t>
      </w:r>
    </w:p>
    <w:p>
      <w:r>
        <w:t>远帆世纪出版社 出版图书：https://www.jiaokey.com/tag/远帆世纪出版社.html</w:t>
      </w:r>
    </w:p>
    <w:p>
      <w:r>
        <w:t>关键词搜索：https://www.jiaokey.com/tag/解构论  柔性策略之妙用.html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