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量刑规范化案例指导</w:t>
      </w:r>
    </w:p>
    <w:p>
      <w:r>
        <w:rPr>
          <w:rFonts w:ascii="宋体" w:hAnsi="宋体" w:eastAsia="宋体"/>
          <w:sz w:val="24"/>
        </w:rPr>
        <w:t>最高人民法院量刑规范化改革项目组编写；黄尔梅主编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量刑规范化案例指导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最高人民法院量刑规范化改革项目组编写；黄尔梅主编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本书出售、求购地址：https://www.jiaokey.com/book/detail/13070916.html</w:t>
      </w:r>
    </w:p>
    <w:p>
      <w:r>
        <w:t>更多相关图书推荐：https://www.jiaokey.com</w:t>
      </w:r>
    </w:p>
    <w:p>
      <w:r>
        <w:t>最高人民法院量刑规范化改革项目组编写；黄尔梅主编 其他作品：https://www.jiaokey.com/tag/最高人民法院量刑规范化改革项目组编写；黄尔梅主编.html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关键词搜索：https://www.jiaokey.com/tag/量刑规范化案例指导.html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