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韩非子选译</w:t>
      </w:r>
    </w:p>
    <w:p>
      <w:r>
        <w:rPr>
          <w:rFonts w:ascii="宋体" w:hAnsi="宋体" w:eastAsia="宋体"/>
          <w:sz w:val="24"/>
        </w:rPr>
        <w:t>章培恒，安平秋，马樟根主编；刘乾先，张在义译注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章培恒，安平秋，马樟根主编；刘乾先，张在义译注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本书出售、求购地址：https://www.jiaokey.com/book/detail/13070550.html</w:t>
      </w:r>
    </w:p>
    <w:p>
      <w:r>
        <w:t>更多相关图书推荐：https://www.jiaokey.com</w:t>
      </w:r>
    </w:p>
    <w:p>
      <w:r>
        <w:t>章培恒，安平秋，马樟根主编；刘乾先，张在义译注 其他作品：https://www.jiaokey.com/tag/章培恒，安平秋，马樟根主编；刘乾先，张在义译注.html</w:t>
      </w:r>
    </w:p>
    <w:p>
      <w:r>
        <w:t>凤凰出版社 出版图书：https://www.jiaokey.com/tag/凤凰出版社.html</w:t>
      </w:r>
    </w:p>
    <w:p>
      <w:r>
        <w:t>关键词搜索：https://www.jiaokey.com/tag/韩非子选译.html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