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  英文版  原书第18版</w:t>
      </w:r>
    </w:p>
    <w:p>
      <w:r>
        <w:rPr>
          <w:rFonts w:ascii="宋体" w:hAnsi="宋体" w:eastAsia="宋体"/>
          <w:sz w:val="24"/>
        </w:rPr>
        <w:t>（美）汤普森，（美）彼得拉夫，（美）甘布尔等著；黄嫚丽，蓝海林等译注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  英文版  原书第18版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（美）汤普森，（美）彼得拉夫，（美）甘布尔等著；黄嫚丽，蓝海林等译注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本书出售、求购地址：https://www.jiaokey.com/book/detail/13070354.html</w:t>
      </w:r>
    </w:p>
    <w:p>
      <w:r>
        <w:t>更多相关图书推荐：https://www.jiaokey.com</w:t>
      </w:r>
    </w:p>
    <w:p>
      <w:r>
        <w:t>（美）汤普森，（美）彼得拉夫，（美）甘布尔等著；黄嫚丽，蓝海林等译注 其他作品：https://www.jiaokey.com/tag/（美）汤普森，（美）彼得拉夫，（美）甘布尔等著；黄嫚丽，蓝海林等译注.html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概念与案例  英文版  原书第18版.html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