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Dreamweaver+Asp网页制作实例教程  任务驱动模式</w:t>
      </w:r>
    </w:p>
    <w:p>
      <w:r>
        <w:rPr>
          <w:rFonts w:ascii="宋体" w:hAnsi="宋体" w:eastAsia="宋体"/>
          <w:sz w:val="24"/>
        </w:rPr>
        <w:t>张洪海，马小山主编；张谷一，杜贤宏副主编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Dreamweaver+Asp网页制作实例教程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张洪海，马小山主编；张谷一，杜贤宏副主编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本书出售、求购地址：https://www.jiaokey.com/book/detail/13070064.html</w:t>
      </w:r>
    </w:p>
    <w:p>
      <w:r>
        <w:t>更多相关图书推荐：https://www.jiaokey.com</w:t>
      </w:r>
    </w:p>
    <w:p>
      <w:r>
        <w:t>张洪海，马小山主编；张谷一，杜贤宏副主编 其他作品：https://www.jiaokey.com/tag/张洪海，马小山主编；张谷一，杜贤宏副主编.html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关键词搜索：https://www.jiaokey.com/tag/Dreamweaver+Asp网页制作实例教程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