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</w:t>
      </w:r>
    </w:p>
    <w:p>
      <w:r>
        <w:rPr>
          <w:rFonts w:ascii="宋体" w:hAnsi="宋体" w:eastAsia="宋体"/>
          <w:sz w:val="24"/>
        </w:rPr>
        <w:t>白生宾，阿不都许库尔·阿不力米提主编；冯树梅，张亚楼副主编；谌宏鸣，顾丹天，李甜等编著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白生宾，阿不都许库尔·阿不力米提主编；冯树梅，张亚楼副主编；谌宏鸣，顾丹天，李甜等编著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本书出售、求购地址：https://www.jiaokey.com/book/detail/13067855.html</w:t>
      </w:r>
    </w:p>
    <w:p>
      <w:r>
        <w:t>更多相关图书推荐：https://www.jiaokey.com</w:t>
      </w:r>
    </w:p>
    <w:p>
      <w:r>
        <w:t>白生宾，阿不都许库尔·阿不力米提主编；冯树梅，张亚楼副主编；谌宏鸣，顾丹天，李甜等编著 其他作品：https://www.jiaokey.com/tag/白生宾，阿不都许库尔·阿不力米提主编；冯树梅，张亚楼副主编；谌宏鸣，顾丹天，李甜等编著.html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