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平衡计分卡与薪酬管理经典案例解析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平衡计分卡与薪酬管理经典案例解析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本书出售、求购地址：https://www.jiaokey.com/book/detail/13066752.html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