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关于地方钢铁工业发展战略的探讨</w:t>
      </w:r>
    </w:p>
    <w:p>
      <w:r>
        <w:rPr>
          <w:rFonts w:ascii="宋体" w:hAnsi="宋体" w:eastAsia="宋体"/>
          <w:sz w:val="24"/>
        </w:rPr>
        <w:t>于铁柱编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关于地方钢铁工业发展战略的探讨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北京钢铁设计研究总院技术经济室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本书出售、求购地址：https://www.jiaokey.com/book/detail/13065301.html</w:t>
      </w:r>
    </w:p>
    <w:p>
      <w:r>
        <w:t>更多相关图书推荐：https://www.jiaokey.com</w:t>
      </w:r>
    </w:p>
    <w:p>
      <w:r>
        <w:t>于铁柱编 其他作品：https://www.jiaokey.com/tag/于铁柱编.html</w:t>
      </w:r>
    </w:p>
    <w:p>
      <w:r>
        <w:t>北京钢铁设计研究总院技术经济室 出版图书：https://www.jiaokey.com/tag/北京钢铁设计研究总院技术经济室.html</w:t>
      </w:r>
    </w:p>
    <w:p>
      <w:r>
        <w:t>关键词搜索：https://www.jiaokey.com/tag/关于地方钢铁工业发展战略的探讨.html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