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新疆维吾尔自治区巴里坤哈萨克自治县农业气候手册</w:t>
      </w:r>
    </w:p>
    <w:p>
      <w:r>
        <w:rPr>
          <w:rFonts w:ascii="宋体" w:hAnsi="宋体" w:eastAsia="宋体"/>
          <w:sz w:val="24"/>
        </w:rPr>
        <w:t>哈密地区气象局农业气候区划办公室，巴里坤哈萨克自治县农业区划办公室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新疆维吾尔自治区巴里坤哈萨克自治县农业气候手册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哈密地区气象局农业气候区划办公室，巴里坤哈萨克自治县农业区划办公室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本书出售、求购地址：https://www.jiaokey.com/book/detail/13065081.html</w:t>
      </w:r>
    </w:p>
    <w:p>
      <w:r>
        <w:t>更多相关图书推荐：https://www.jiaokey.com</w:t>
      </w:r>
    </w:p>
    <w:p>
      <w:r>
        <w:t>哈密地区气象局农业气候区划办公室，巴里坤哈萨克自治县农业区划办公室 其他作品：https://www.jiaokey.com/tag/哈密地区气象局农业气候区划办公室，巴里坤哈萨克自治县农业区划办公室.html</w:t>
      </w:r>
    </w:p>
    <w:p>
      <w:r>
        <w:t>关键词搜索：https://www.jiaokey.com/tag/新疆维吾尔自治区巴里坤哈萨克自治县农业气候手册.html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