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中小学生品行障碍  识别、评估和治疗</w:t>
      </w:r>
    </w:p>
    <w:p>
      <w:r>
        <w:rPr>
          <w:rFonts w:ascii="宋体" w:hAnsi="宋体" w:eastAsia="宋体"/>
          <w:sz w:val="24"/>
        </w:rPr>
        <w:t>（美）TammyL.Hughes，（美）LauraM.Crothers，（美）ShaneR.Jimerson著；彭维，张海峰，李一徐，沈瑜译；傅宏审校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中小学生品行障碍  识别、评估和治疗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（美）TammyL.Hughes，（美）LauraM.Crothers，（美）ShaneR.Jimerson著；彭维，张海峰，李一徐，沈瑜译；傅宏审校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本书出售、求购地址：https://www.jiaokey.com/book/detail/13064643.html</w:t>
      </w:r>
    </w:p>
    <w:p>
      <w:r>
        <w:t>更多相关图书推荐：https://www.jiaokey.com</w:t>
      </w:r>
    </w:p>
    <w:p>
      <w:r>
        <w:t>（美）TammyL.Hughes，（美）LauraM.Crothers，（美）ShaneR.Jimerson著；彭维，张海峰，李一徐，沈瑜译；傅宏审校 其他作品：https://www.jiaokey.com/tag/（美）TammyL.Hughes，（美）LauraM.Crothers，（美）ShaneR.Jimerson著；彭维，张海峰，李一徐，沈瑜译；傅宏审校.html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关键词搜索：https://www.jiaokey.com/tag/中小学生品行障碍  识别、评估和治疗.html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