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零件的手动工具加工</w:t>
      </w:r>
    </w:p>
    <w:p>
      <w:r>
        <w:rPr>
          <w:rFonts w:ascii="宋体" w:hAnsi="宋体" w:eastAsia="宋体"/>
          <w:sz w:val="24"/>
        </w:rPr>
        <w:t>董晓冰，于向和，隋秀梅主编；赵宏宇，郭翔，郭佳萍，陶静萍副主编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零件的手动工具加工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董晓冰，于向和，隋秀梅主编；赵宏宇，郭翔，郭佳萍，陶静萍副主编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本书出售、求购地址：https://www.jiaokey.com/book/detail/13064108.html</w:t>
      </w:r>
    </w:p>
    <w:p>
      <w:r>
        <w:t>更多相关图书推荐：https://www.jiaokey.com</w:t>
      </w:r>
    </w:p>
    <w:p>
      <w:r>
        <w:t>董晓冰，于向和，隋秀梅主编；赵宏宇，郭翔，郭佳萍，陶静萍副主编 其他作品：https://www.jiaokey.com/tag/董晓冰，于向和，隋秀梅主编；赵宏宇，郭翔，郭佳萍，陶静萍副主编.html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关键词搜索：https://www.jiaokey.com/tag/零件的手动工具加工.html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