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高级</w:t>
      </w:r>
    </w:p>
    <w:p>
      <w:r>
        <w:rPr>
          <w:rFonts w:ascii="宋体" w:hAnsi="宋体" w:eastAsia="宋体"/>
          <w:sz w:val="24"/>
        </w:rPr>
        <w:t>郭建尊主编；崔尚英，巩运强，刘和军副主编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郭建尊主编；崔尚英，巩运强，刘和军副主编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本书出售、求购地址：https://www.jiaokey.com/book/detail/13063957.html</w:t>
      </w:r>
    </w:p>
    <w:p>
      <w:r>
        <w:t>更多相关图书推荐：https://www.jiaokey.com</w:t>
      </w:r>
    </w:p>
    <w:p>
      <w:r>
        <w:t>郭建尊主编；崔尚英，巩运强，刘和军副主编 其他作品：https://www.jiaokey.com/tag/郭建尊主编；崔尚英，巩运强，刘和军副主编.html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关键词搜索：https://www.jiaokey.com/tag/机械制图与计算机绘图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