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流通蓝皮书  中国商业发展报告  2011-2012</w:t>
      </w:r>
    </w:p>
    <w:p>
      <w:r>
        <w:rPr>
          <w:rFonts w:ascii="宋体" w:hAnsi="宋体" w:eastAsia="宋体"/>
          <w:sz w:val="24"/>
        </w:rPr>
        <w:t>中国社会科学院财经战略研究院，利丰研究中心，荆林波主编；林诗慧，王雪峰副主编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流通蓝皮书  中国商业发展报告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中国社会科学院财经战略研究院，利丰研究中心，荆林波主编；林诗慧，王雪峰副主编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本书出售、求购地址：https://www.jiaokey.com/book/detail/13062019.html</w:t>
      </w:r>
    </w:p>
    <w:p>
      <w:r>
        <w:t>更多相关图书推荐：https://www.jiaokey.com</w:t>
      </w:r>
    </w:p>
    <w:p>
      <w:r>
        <w:t>中国社会科学院财经战略研究院，利丰研究中心，荆林波主编；林诗慧，王雪峰副主编 其他作品：https://www.jiaokey.com/tag/中国社会科学院财经战略研究院，利丰研究中心，荆林波主编；林诗慧，王雪峰副主编.html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关键词搜索：https://www.jiaokey.com/tag/流通蓝皮书  中国商业发展报告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