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通货原理研究</w:t>
      </w:r>
    </w:p>
    <w:p>
      <w:r>
        <w:rPr>
          <w:rFonts w:ascii="宋体" w:hAnsi="宋体" w:eastAsia="宋体"/>
          <w:sz w:val="24"/>
        </w:rPr>
        <w:t>（英）托马斯·图克著；张胜纪译；朱泱校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（英）托马斯·图克著；张胜纪译；朱泱校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银行学派-货币理论-银行学派-货币理论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本书出售、求购地址：https://www.jiaokey.com/book/detail/13059321.html</w:t>
      </w:r>
    </w:p>
    <w:p>
      <w:r>
        <w:t>更多相关图书推荐：https://www.jiaokey.com</w:t>
      </w:r>
    </w:p>
    <w:p>
      <w:r>
        <w:t>（英）托马斯·图克著；张胜纪译；朱泱校 其他作品：https://www.jiaokey.com/tag/（英）托马斯·图克著；张胜纪译；朱泱校.html</w:t>
      </w:r>
    </w:p>
    <w:p>
      <w:r>
        <w:t>北京:商务印书馆,2011.07 出版图书：https://www.jiaokey.com/tag/北京:商务印书馆,2011.07.html</w:t>
      </w:r>
    </w:p>
    <w:p>
      <w:r>
        <w:t>关键词搜索：https://www.jiaokey.com/tag/银行学派-货币理论-银行学派-货币理论.html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