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中国国家标准汇编：2010年制定.502：GB26322-26369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中国国家标准汇编：2010年制定.502：GB26322-26369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本书出售、求购地址：https://www.jiaokey.com/book/detail/13058704.html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关键词搜索：https://www.jiaokey.com/tag/中国国家标准汇编：2010年制定.502：GB26322-26369.html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