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国家赔偿法教程</w:t>
      </w:r>
    </w:p>
    <w:p>
      <w:r>
        <w:rPr>
          <w:rFonts w:ascii="宋体" w:hAnsi="宋体" w:eastAsia="宋体"/>
          <w:sz w:val="24"/>
        </w:rPr>
        <w:t>胡建淼主编；于绍元，邢焯时，宋玉柱副主编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胡建淼主编；于绍元，邢焯时，宋玉柱副主编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本书出售、求购地址：https://www.jiaokey.com/book/detail/13057929.html</w:t>
      </w:r>
    </w:p>
    <w:p>
      <w:r>
        <w:t>更多相关图书推荐：https://www.jiaokey.com</w:t>
      </w:r>
    </w:p>
    <w:p>
      <w:r>
        <w:t>胡建淼主编；于绍元，邢焯时，宋玉柱副主编 其他作品：https://www.jiaokey.com/tag/胡建淼主编；于绍元，邢焯时，宋玉柱副主编.html</w:t>
      </w:r>
    </w:p>
    <w:p>
      <w:r>
        <w:t>浙江人民出版社 出版图书：https://www.jiaokey.com/tag/浙江人民出版社.html</w:t>
      </w:r>
    </w:p>
    <w:p>
      <w:r>
        <w:t>关键词搜索：https://www.jiaokey.com/tag/国家赔偿法教程.html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