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旗帜</w:t>
      </w:r>
    </w:p>
    <w:p>
      <w:r>
        <w:rPr>
          <w:rFonts w:ascii="宋体" w:hAnsi="宋体" w:eastAsia="宋体"/>
          <w:sz w:val="24"/>
        </w:rPr>
        <w:t>孙发智，任建谊主编；傅冰执行主编；张太升副主编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孙发智，任建谊主编；傅冰执行主编；张太升副主编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本书出售、求购地址：https://www.jiaokey.com/book/detail/13057010.html</w:t>
      </w:r>
    </w:p>
    <w:p>
      <w:r>
        <w:t>更多相关图书推荐：https://www.jiaokey.com</w:t>
      </w:r>
    </w:p>
    <w:p>
      <w:r>
        <w:t>孙发智，任建谊主编；傅冰执行主编；张太升副主编 其他作品：https://www.jiaokey.com/tag/孙发智，任建谊主编；傅冰执行主编；张太升副主编.html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